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6B" w:rsidRPr="008E4764" w:rsidRDefault="00C1646B" w:rsidP="00C1646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               </w:t>
      </w: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Утверждаю</w:t>
      </w: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»</w:t>
      </w:r>
    </w:p>
    <w:p w:rsidR="00C1646B" w:rsidRPr="008E4764" w:rsidRDefault="00C1646B" w:rsidP="00C1646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«ГККП ясли-сад №10 «Бөбек</w:t>
      </w: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»</w:t>
      </w:r>
    </w:p>
    <w:p w:rsidR="00C1646B" w:rsidRPr="008E4764" w:rsidRDefault="00C1646B" w:rsidP="00C1646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</w:t>
      </w: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</w:t>
      </w:r>
      <w:r w:rsidRPr="00C164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Заведующая</w:t>
      </w: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__________Исақызы Б</w:t>
      </w:r>
    </w:p>
    <w:p w:rsidR="00C1646B" w:rsidRPr="008E4764" w:rsidRDefault="00C1646B" w:rsidP="00C1646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</w:pP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             </w:t>
      </w:r>
      <w:r w:rsidRPr="00C164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</w:t>
      </w:r>
      <w:r w:rsidRPr="00C164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</w:t>
      </w: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«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</w:t>
      </w: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»_________</w:t>
      </w:r>
      <w:r w:rsidRPr="00C164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76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>2020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г</w:t>
      </w:r>
      <w:r w:rsidRPr="008E47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</w:p>
    <w:p w:rsidR="00C1646B" w:rsidRPr="008E4764" w:rsidRDefault="00C1646B" w:rsidP="00C1646B">
      <w:pPr>
        <w:jc w:val="center"/>
        <w:rPr>
          <w:sz w:val="24"/>
          <w:szCs w:val="24"/>
        </w:rPr>
      </w:pPr>
    </w:p>
    <w:p w:rsidR="00C1646B" w:rsidRDefault="00C1646B" w:rsidP="00C16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390CC4" w:rsidRPr="00C1646B" w:rsidRDefault="00D1746A" w:rsidP="00C1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  <w:t>ГККП ясли-сад №10 «Бөбек»</w:t>
      </w:r>
    </w:p>
    <w:p w:rsidR="00AF6589" w:rsidRPr="00C1646B" w:rsidRDefault="00390CC4" w:rsidP="00C1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kk-KZ" w:eastAsia="ru-RU"/>
        </w:rPr>
      </w:pPr>
      <w:r w:rsidRPr="00390CC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ОБЩИЕ ПОЛОЖЕНИЯ</w:t>
      </w:r>
    </w:p>
    <w:p w:rsidR="00390CC4" w:rsidRPr="00390CC4" w:rsidRDefault="00390CC4" w:rsidP="0039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4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</w:t>
      </w:r>
      <w:r w:rsidR="00D1746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ГККП ясли-сад №10 «Бөбек»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корпоративной культуры 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следует требованиям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до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лжностными лицами и работниками,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емКодексе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 и термины:</w:t>
      </w:r>
    </w:p>
    <w:p w:rsidR="00390CC4" w:rsidRPr="00390CC4" w:rsidRDefault="00E8617A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Э</w:t>
      </w:r>
      <w:r w:rsidR="00390CC4"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тик</w:t>
      </w:r>
      <w:r w:rsidR="00AF6589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а</w:t>
      </w:r>
      <w:r w:rsidR="00390CC4"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этических принципов и норм делового поведения, которыми руководствуются в своей деятельнос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должностные лица и работники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Заинтересованное лицо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реализация прав которого, предусмотренных Законодательством и Уставом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Конфликт интересов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Работник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состоящее в трудовых отношениях и непосредственно выполняющее работу по трудовому договору</w:t>
      </w:r>
      <w:r w:rsidR="008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89" w:rsidRDefault="00AF6589" w:rsidP="0039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Pr="0068071F" w:rsidRDefault="00AF6589" w:rsidP="009D4F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0" w:name="bookmark0"/>
      <w:bookmarkStart w:id="1" w:name="bookmark1"/>
      <w:r w:rsidRPr="006807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ГЛАВА 1. ЦЕННОСТИ И ПРИНЦИПЫ ЭТИКИ</w:t>
      </w:r>
      <w:bookmarkEnd w:id="0"/>
      <w:bookmarkEnd w:id="1"/>
    </w:p>
    <w:p w:rsidR="0068071F" w:rsidRDefault="0068071F" w:rsidP="00AF6589">
      <w:pPr>
        <w:spacing w:after="0" w:line="240" w:lineRule="auto"/>
        <w:rPr>
          <w:rFonts w:ascii="Garamond" w:eastAsia="Times New Roman" w:hAnsi="Garamond" w:cs="Garamond"/>
          <w:color w:val="000000"/>
          <w:lang w:eastAsia="ru-RU"/>
        </w:rPr>
      </w:pPr>
    </w:p>
    <w:p w:rsidR="00AF6589" w:rsidRPr="00AF6589" w:rsidRDefault="00AF6589" w:rsidP="00285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корпоративными ценностями являются:</w:t>
      </w:r>
    </w:p>
    <w:p w:rsidR="00AF6589" w:rsidRPr="00AF6589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Меритократия: справедливость и объективность в оценке вклада и достижений каждого. 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Честность: честность к своим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открытость к контактам и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2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2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3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 имеет положительный эффект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чести, достоинства и репутации, в т.ч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ущерб в пределах,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формированию антикоррупционной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обеспечивать соблюдение 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с действующим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коллективами родителей обучающихся,  общественности, в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официальных интернет-ресурсах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Default="00714230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val="kk-KZ" w:eastAsia="ru-RU"/>
        </w:rPr>
      </w:pPr>
    </w:p>
    <w:p w:rsidR="00C1646B" w:rsidRPr="00C1646B" w:rsidRDefault="00C1646B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val="kk-KZ" w:eastAsia="ru-RU"/>
        </w:rPr>
      </w:pP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C1646B">
      <w:headerReference w:type="default" r:id="rId7"/>
      <w:pgSz w:w="11909" w:h="16834"/>
      <w:pgMar w:top="1440" w:right="1440" w:bottom="426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55" w:rsidRDefault="00FC0755" w:rsidP="00767D43">
      <w:pPr>
        <w:spacing w:after="0" w:line="240" w:lineRule="auto"/>
      </w:pPr>
      <w:r>
        <w:separator/>
      </w:r>
    </w:p>
  </w:endnote>
  <w:endnote w:type="continuationSeparator" w:id="1">
    <w:p w:rsidR="00FC0755" w:rsidRDefault="00FC0755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55" w:rsidRDefault="00FC0755" w:rsidP="00767D43">
      <w:pPr>
        <w:spacing w:after="0" w:line="240" w:lineRule="auto"/>
      </w:pPr>
      <w:r>
        <w:separator/>
      </w:r>
    </w:p>
  </w:footnote>
  <w:footnote w:type="continuationSeparator" w:id="1">
    <w:p w:rsidR="00FC0755" w:rsidRDefault="00FC0755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590778"/>
      <w:docPartObj>
        <w:docPartGallery w:val="Page Numbers (Top of Page)"/>
        <w:docPartUnique/>
      </w:docPartObj>
    </w:sdtPr>
    <w:sdtContent>
      <w:p w:rsidR="00767D43" w:rsidRDefault="00590D49">
        <w:pPr>
          <w:pStyle w:val="a4"/>
          <w:jc w:val="center"/>
        </w:pPr>
        <w:r>
          <w:fldChar w:fldCharType="begin"/>
        </w:r>
        <w:r w:rsidR="00767D43">
          <w:instrText>PAGE   \* MERGEFORMAT</w:instrText>
        </w:r>
        <w:r>
          <w:fldChar w:fldCharType="separate"/>
        </w:r>
        <w:r w:rsidR="00C1646B">
          <w:rPr>
            <w:noProof/>
          </w:rPr>
          <w:t>8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CC4"/>
    <w:rsid w:val="00045F00"/>
    <w:rsid w:val="0004663F"/>
    <w:rsid w:val="00060CB9"/>
    <w:rsid w:val="00070027"/>
    <w:rsid w:val="000A0EE3"/>
    <w:rsid w:val="000B24F3"/>
    <w:rsid w:val="000D45FE"/>
    <w:rsid w:val="00201FA0"/>
    <w:rsid w:val="00260282"/>
    <w:rsid w:val="0026346D"/>
    <w:rsid w:val="002814C2"/>
    <w:rsid w:val="00285888"/>
    <w:rsid w:val="002A5E2D"/>
    <w:rsid w:val="002F5871"/>
    <w:rsid w:val="00305EFE"/>
    <w:rsid w:val="003436C1"/>
    <w:rsid w:val="003866DC"/>
    <w:rsid w:val="00390CC4"/>
    <w:rsid w:val="003B58A2"/>
    <w:rsid w:val="004048A8"/>
    <w:rsid w:val="00435D08"/>
    <w:rsid w:val="004511A9"/>
    <w:rsid w:val="00494098"/>
    <w:rsid w:val="004A7E25"/>
    <w:rsid w:val="004B1B04"/>
    <w:rsid w:val="004D6CD4"/>
    <w:rsid w:val="004F2FCD"/>
    <w:rsid w:val="00520FAA"/>
    <w:rsid w:val="00544772"/>
    <w:rsid w:val="005847DD"/>
    <w:rsid w:val="00590D49"/>
    <w:rsid w:val="005B0E53"/>
    <w:rsid w:val="005C2369"/>
    <w:rsid w:val="005E1D01"/>
    <w:rsid w:val="006063A2"/>
    <w:rsid w:val="00622649"/>
    <w:rsid w:val="0068071F"/>
    <w:rsid w:val="00690BA7"/>
    <w:rsid w:val="006A0EDB"/>
    <w:rsid w:val="00714230"/>
    <w:rsid w:val="00746B1F"/>
    <w:rsid w:val="007473A7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9157A"/>
    <w:rsid w:val="009D4F02"/>
    <w:rsid w:val="009E3442"/>
    <w:rsid w:val="00A400E7"/>
    <w:rsid w:val="00A55365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1646B"/>
    <w:rsid w:val="00C71B57"/>
    <w:rsid w:val="00CA39ED"/>
    <w:rsid w:val="00CE441C"/>
    <w:rsid w:val="00D037DD"/>
    <w:rsid w:val="00D04CE0"/>
    <w:rsid w:val="00D1746A"/>
    <w:rsid w:val="00D83AEC"/>
    <w:rsid w:val="00DC353A"/>
    <w:rsid w:val="00E0168A"/>
    <w:rsid w:val="00E35CF0"/>
    <w:rsid w:val="00E8617A"/>
    <w:rsid w:val="00F0662E"/>
    <w:rsid w:val="00F11DEA"/>
    <w:rsid w:val="00F73000"/>
    <w:rsid w:val="00FB5995"/>
    <w:rsid w:val="00FC0755"/>
    <w:rsid w:val="00FC3195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Алдияров Асылбек Утегулович</dc:creator>
  <cp:lastModifiedBy>Comp</cp:lastModifiedBy>
  <cp:revision>3</cp:revision>
  <cp:lastPrinted>2020-09-16T07:27:00Z</cp:lastPrinted>
  <dcterms:created xsi:type="dcterms:W3CDTF">2020-09-15T09:24:00Z</dcterms:created>
  <dcterms:modified xsi:type="dcterms:W3CDTF">2020-09-16T07:27:00Z</dcterms:modified>
</cp:coreProperties>
</file>